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leftChars="0" w:firstLine="0" w:firstLineChars="0"/>
        <w:jc w:val="left"/>
        <w:outlineLvl w:val="0"/>
        <w:rPr>
          <w:rFonts w:eastAsia="仿宋_GB2312"/>
          <w:color w:val="000000"/>
          <w:sz w:val="28"/>
          <w:szCs w:val="28"/>
        </w:rPr>
      </w:pPr>
      <w:r>
        <w:rPr>
          <w:rFonts w:eastAsia="仿宋_GB2312"/>
          <w:b/>
          <w:bCs/>
          <w:color w:val="000000"/>
          <w:kern w:val="2"/>
          <w:sz w:val="28"/>
          <w:szCs w:val="28"/>
        </w:rPr>
        <w:t>附件三：</w:t>
      </w:r>
    </w:p>
    <w:p>
      <w:pPr>
        <w:widowControl/>
        <w:shd w:val="clear" w:color="auto" w:fill="FFFFFF"/>
        <w:spacing w:line="360" w:lineRule="atLeast"/>
        <w:jc w:val="center"/>
        <w:rPr>
          <w:rFonts w:eastAsia="仿宋_GB2312"/>
          <w:color w:val="000000"/>
          <w:sz w:val="32"/>
          <w:szCs w:val="32"/>
        </w:rPr>
      </w:pPr>
      <w:r>
        <w:rPr>
          <w:rStyle w:val="6"/>
          <w:rFonts w:eastAsia="仿宋_GB2312"/>
          <w:color w:val="000000"/>
          <w:kern w:val="0"/>
          <w:sz w:val="32"/>
          <w:szCs w:val="32"/>
          <w:shd w:val="clear" w:color="auto" w:fill="FFFFFF"/>
        </w:rPr>
        <w:t>　承 诺 书</w:t>
      </w:r>
    </w:p>
    <w:p>
      <w:pPr>
        <w:keepNext w:val="0"/>
        <w:keepLines w:val="0"/>
        <w:pageBreakBefore w:val="0"/>
        <w:widowControl/>
        <w:shd w:val="clear" w:color="auto" w:fill="FFFFFF"/>
        <w:kinsoku/>
        <w:wordWrap/>
        <w:overflowPunct/>
        <w:topLinePunct w:val="0"/>
        <w:autoSpaceDE/>
        <w:autoSpaceDN/>
        <w:bidi w:val="0"/>
        <w:adjustRightInd/>
        <w:snapToGrid/>
        <w:spacing w:line="240" w:lineRule="exact"/>
        <w:textAlignment w:val="auto"/>
        <w:rPr>
          <w:rFonts w:eastAsia="仿宋_GB2312"/>
          <w:color w:val="000000"/>
          <w:sz w:val="28"/>
          <w:szCs w:val="28"/>
        </w:rPr>
      </w:pPr>
      <w:r>
        <w:rPr>
          <w:rFonts w:eastAsia="仿宋_GB2312"/>
          <w:color w:val="000000"/>
          <w:kern w:val="0"/>
          <w:sz w:val="28"/>
          <w:szCs w:val="28"/>
          <w:shd w:val="clear" w:color="auto" w:fill="FFFFFF"/>
        </w:rPr>
        <w:t>　　</w:t>
      </w:r>
    </w:p>
    <w:p>
      <w:pPr>
        <w:widowControl/>
        <w:shd w:val="clear" w:color="auto" w:fill="FFFFFF"/>
        <w:spacing w:line="500" w:lineRule="exact"/>
        <w:ind w:firstLine="560" w:firstLineChars="200"/>
        <w:rPr>
          <w:rFonts w:eastAsia="仿宋_GB2312"/>
          <w:color w:val="000000"/>
          <w:sz w:val="28"/>
          <w:szCs w:val="28"/>
        </w:rPr>
      </w:pPr>
      <w:r>
        <w:rPr>
          <w:rFonts w:eastAsia="仿宋_GB2312"/>
          <w:color w:val="000000"/>
          <w:kern w:val="0"/>
          <w:sz w:val="28"/>
          <w:szCs w:val="28"/>
          <w:shd w:val="clear" w:color="auto" w:fill="FFFFFF"/>
        </w:rPr>
        <w:t>投标人应对下列事项作出承诺；如投标人不同意或不完全同意以下条款，将导致其不能成为备选机构。</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1.工作安排、考核、主副承销商角色安排、佣金分配及项目前期工作接受株洲市清水塘投资集团有限公司对投标人进行的工作安排和考核，并同意由株洲市清水塘投资集团有限公司制定、修改及解释具体工作计划和考核办法；</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同意株洲市清水塘投资集团有限公司对中标人的角色划分、佣金、费用和奖金的决定与安排；</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投标人承诺严格坚持公平报价原则，报价有合理依据，不故意抬高或压低报价；</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如对株洲市清水塘投资集团有限公司就上述事宜的决定或安排有任何异议，该等异议均不应通过任何外部争端解决方式加以解决，也不应通过任何途径被任何第三方知悉。</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2.投标人承诺严格遵守相关法律、法规及其他规范性规定，若有下列情形之一的，供应商将丧失本次参与比选的资格，并赔偿株洲市清水塘投资集团有限公司的损失：</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提供虚假材料或者相应文档中包括任何虚假、错误或误导性陈述；</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采取不正当手段诋毁、排挤其他投标人；</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与其他投标人或者负责比选活动工作人员恶意串通；</w:t>
      </w:r>
    </w:p>
    <w:p>
      <w:pPr>
        <w:widowControl/>
        <w:shd w:val="clear" w:color="auto" w:fill="FFFFFF"/>
        <w:spacing w:line="500" w:lineRule="exact"/>
        <w:ind w:firstLine="560" w:firstLineChars="200"/>
        <w:rPr>
          <w:rFonts w:eastAsia="仿宋_GB2312"/>
          <w:color w:val="000000"/>
          <w:sz w:val="28"/>
          <w:szCs w:val="28"/>
        </w:rPr>
      </w:pPr>
      <w:r>
        <w:rPr>
          <w:rFonts w:eastAsia="仿宋_GB2312"/>
          <w:color w:val="000000"/>
          <w:kern w:val="0"/>
          <w:sz w:val="28"/>
          <w:szCs w:val="28"/>
          <w:shd w:val="clear" w:color="auto" w:fill="FFFFFF"/>
        </w:rPr>
        <w:t>向负责比选活动工作人员和比选小组行贿或者提供其他不正当利益；</w:t>
      </w:r>
      <w:r>
        <w:rPr>
          <w:rFonts w:eastAsia="仿宋_GB2312"/>
          <w:color w:val="000000"/>
          <w:sz w:val="28"/>
          <w:szCs w:val="28"/>
        </w:rPr>
        <w:t xml:space="preserve"> </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违反保密义务。</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3.同意株洲市清水塘投资集团有限公司的如下声明：株洲市清水塘投资集团有限公司保留选择确定投标人、备选机构、服务内容、价格以及最终是否与备选机构签署协议的权利。如最终未能与备选机构签署协议，株洲市清水塘投资集团有限公司不构成恶意磋商，也不承担任何违约责任或缔约过失责任，投标人同意和承诺不得向株洲市清水塘投资集团有限公司提出任何主张或请求；</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株洲市清水塘投资集团有限公司如认为本文件有澄清或修改的必要时，有权单方面进行必要的澄清或修改，并将澄清或修改的内容以书面形式（电子邮件形式）发送所有投标人。株洲市清水塘投资集团有限公司对本文件所进行的有效澄清和修改将构成本比选文件不可分割的一部分；</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无论本次比选结果如何，投标人应自行承担所有与本次比选有关的税负和费用（包括但不限于为准备本文件、参加本次比选、聘请中介机构产生的税负和费用及差旅费等），株洲市清水塘投资集团有限公司在任何情况下（包括但不限于修改本文件或其他比选程序规则、终止比选程序等）均无义务和责任承担上述税负和费用，且无义务或责任对投标人发生的任何税负和费用予以补偿或赔偿；</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株洲市清水塘投资集团有限公司有权随时中止或终止本次比选程序，且无需对此或向任何方承担任何责任；</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株洲市清水塘投资集团有限公司无义务向任何机构解释中标与否的情况及落选原因等；</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为避免</w:t>
      </w:r>
      <w:r>
        <w:rPr>
          <w:rFonts w:eastAsia="仿宋_GB2312"/>
          <w:color w:val="000000"/>
          <w:kern w:val="0"/>
          <w:sz w:val="28"/>
          <w:szCs w:val="28"/>
          <w:highlight w:val="none"/>
          <w:shd w:val="clear" w:color="auto" w:fill="FFFFFF"/>
        </w:rPr>
        <w:t>疑义</w:t>
      </w:r>
      <w:r>
        <w:rPr>
          <w:rFonts w:eastAsia="仿宋_GB2312"/>
          <w:color w:val="000000"/>
          <w:kern w:val="0"/>
          <w:sz w:val="28"/>
          <w:szCs w:val="28"/>
          <w:shd w:val="clear" w:color="auto" w:fill="FFFFFF"/>
        </w:rPr>
        <w:t>，如本项目终止后又重新启动的，株洲市清水塘投资集团有限公司有权重新选聘本项目的服务机构；</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本文件的解释权归属株洲市清水塘投资集团有限公司。</w:t>
      </w:r>
    </w:p>
    <w:p>
      <w:pPr>
        <w:pStyle w:val="2"/>
        <w:ind w:firstLine="560"/>
        <w:rPr>
          <w:rFonts w:eastAsia="仿宋_GB2312"/>
          <w:color w:val="000000"/>
          <w:sz w:val="28"/>
          <w:szCs w:val="28"/>
          <w:shd w:val="clear" w:color="auto" w:fill="FFFFFF"/>
        </w:rPr>
      </w:pPr>
    </w:p>
    <w:p>
      <w:pPr>
        <w:pStyle w:val="2"/>
        <w:ind w:firstLine="560"/>
        <w:rPr>
          <w:rFonts w:eastAsia="仿宋_GB2312"/>
          <w:color w:val="000000"/>
          <w:sz w:val="28"/>
          <w:szCs w:val="28"/>
          <w:shd w:val="clear" w:color="auto" w:fill="FFFFFF"/>
        </w:rPr>
      </w:pPr>
    </w:p>
    <w:p>
      <w:pPr>
        <w:widowControl/>
        <w:shd w:val="clear" w:color="auto" w:fill="FFFFFF"/>
        <w:spacing w:line="500" w:lineRule="exact"/>
        <w:jc w:val="right"/>
        <w:rPr>
          <w:rFonts w:eastAsia="仿宋_GB2312"/>
          <w:color w:val="000000"/>
          <w:sz w:val="28"/>
          <w:szCs w:val="28"/>
        </w:rPr>
      </w:pPr>
      <w:r>
        <w:rPr>
          <w:rFonts w:eastAsia="仿宋_GB2312"/>
          <w:color w:val="000000"/>
          <w:kern w:val="0"/>
          <w:sz w:val="28"/>
          <w:szCs w:val="28"/>
          <w:shd w:val="clear" w:color="auto" w:fill="FFFFFF"/>
        </w:rPr>
        <w:t>                                      承诺人：【机构名称、盖章】</w:t>
      </w:r>
    </w:p>
    <w:p>
      <w:pPr>
        <w:widowControl/>
        <w:shd w:val="clear" w:color="auto" w:fill="FFFFFF"/>
        <w:spacing w:line="500" w:lineRule="exact"/>
        <w:jc w:val="right"/>
        <w:rPr>
          <w:rFonts w:eastAsia="仿宋_GB2312"/>
          <w:color w:val="000000"/>
          <w:sz w:val="24"/>
        </w:rPr>
      </w:pPr>
      <w:r>
        <w:rPr>
          <w:rFonts w:eastAsia="仿宋_GB2312"/>
          <w:color w:val="000000"/>
          <w:kern w:val="0"/>
          <w:sz w:val="28"/>
          <w:szCs w:val="28"/>
          <w:shd w:val="clear" w:color="auto" w:fill="FFFFFF"/>
        </w:rPr>
        <w:t>                                               </w:t>
      </w:r>
      <w:r>
        <w:rPr>
          <w:rFonts w:eastAsia="仿宋_GB2312"/>
          <w:color w:val="000000"/>
          <w:kern w:val="0"/>
          <w:sz w:val="28"/>
          <w:szCs w:val="28"/>
          <w:u w:val="single"/>
          <w:shd w:val="clear" w:color="auto" w:fill="FFFFFF"/>
        </w:rPr>
        <w:t xml:space="preserve">    </w:t>
      </w:r>
      <w:r>
        <w:rPr>
          <w:rFonts w:eastAsia="仿宋_GB2312"/>
          <w:color w:val="000000"/>
          <w:kern w:val="0"/>
          <w:sz w:val="28"/>
          <w:szCs w:val="28"/>
          <w:shd w:val="clear" w:color="auto" w:fill="FFFFFF"/>
        </w:rPr>
        <w:t>年</w:t>
      </w:r>
      <w:r>
        <w:rPr>
          <w:rFonts w:eastAsia="仿宋_GB2312"/>
          <w:color w:val="000000"/>
          <w:kern w:val="0"/>
          <w:sz w:val="28"/>
          <w:szCs w:val="28"/>
          <w:u w:val="single"/>
          <w:shd w:val="clear" w:color="auto" w:fill="FFFFFF"/>
        </w:rPr>
        <w:t xml:space="preserve">  </w:t>
      </w:r>
      <w:r>
        <w:rPr>
          <w:rFonts w:eastAsia="仿宋_GB2312"/>
          <w:color w:val="000000"/>
          <w:kern w:val="0"/>
          <w:sz w:val="28"/>
          <w:szCs w:val="28"/>
          <w:shd w:val="clear" w:color="auto" w:fill="FFFFFF"/>
        </w:rPr>
        <w:t>月</w:t>
      </w:r>
      <w:r>
        <w:rPr>
          <w:rFonts w:eastAsia="仿宋_GB2312"/>
          <w:color w:val="000000"/>
          <w:kern w:val="0"/>
          <w:sz w:val="28"/>
          <w:szCs w:val="28"/>
          <w:u w:val="single"/>
          <w:shd w:val="clear" w:color="auto" w:fill="FFFFFF"/>
        </w:rPr>
        <w:t xml:space="preserve">  </w:t>
      </w:r>
      <w:r>
        <w:rPr>
          <w:rFonts w:eastAsia="仿宋_GB2312"/>
          <w:color w:val="000000"/>
          <w:kern w:val="0"/>
          <w:sz w:val="28"/>
          <w:szCs w:val="28"/>
          <w:shd w:val="clear" w:color="auto" w:fill="FFFFFF"/>
        </w:rPr>
        <w:t>日</w:t>
      </w:r>
      <w:bookmarkStart w:id="0" w:name="_GoBack"/>
      <w:bookmarkEnd w:id="0"/>
    </w:p>
    <w:p>
      <w:pPr>
        <w:pStyle w:val="2"/>
        <w:ind w:firstLine="480"/>
        <w:rPr>
          <w:bCs/>
          <w:sz w:val="28"/>
          <w:szCs w:val="28"/>
        </w:rPr>
      </w:pPr>
      <w:r>
        <w:rPr>
          <w:rFonts w:eastAsia="仿宋_GB2312"/>
          <w:b/>
          <w:bCs/>
          <w:color w:val="000000"/>
          <w:sz w:val="24"/>
        </w:rPr>
        <w:t>【注：若为联合体形式参与本项目比选的，则所有投标人均须提供。】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AE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kern w:val="0"/>
      <w:sz w:val="20"/>
    </w:rPr>
  </w:style>
  <w:style w:type="character" w:styleId="6">
    <w:name w:val="Strong"/>
    <w:qFormat/>
    <w:uiPriority w:val="99"/>
    <w:rPr>
      <w:rFonts w:hint="default"/>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周璇</cp:lastModifiedBy>
  <dcterms:modified xsi:type="dcterms:W3CDTF">2020-01-10T09:37:45Z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